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6036B6" w:rsidP="004D0735">
            <w:pPr>
              <w:pStyle w:val="NoSpacing"/>
              <w:jc w:val="right"/>
              <w:rPr>
                <w:sz w:val="32"/>
                <w:szCs w:val="32"/>
              </w:rPr>
            </w:pPr>
            <w:r>
              <w:rPr>
                <w:rFonts w:asciiTheme="majorHAnsi" w:hAnsiTheme="majorHAnsi"/>
                <w:noProof/>
              </w:rPr>
              <w:drawing>
                <wp:anchor distT="0" distB="0" distL="114300" distR="114300" simplePos="0" relativeHeight="251658240" behindDoc="1" locked="0" layoutInCell="1" allowOverlap="1" wp14:anchorId="27337F84" wp14:editId="7DAFA578">
                  <wp:simplePos x="0" y="0"/>
                  <wp:positionH relativeFrom="column">
                    <wp:posOffset>541020</wp:posOffset>
                  </wp:positionH>
                  <wp:positionV relativeFrom="paragraph">
                    <wp:posOffset>293370</wp:posOffset>
                  </wp:positionV>
                  <wp:extent cx="533400" cy="533400"/>
                  <wp:effectExtent l="0" t="0" r="0" b="0"/>
                  <wp:wrapNone/>
                  <wp:docPr id="3" name="Picture 3" descr="C:\Users\chips.CAMPUS\AppData\Local\Microsoft\Windows\Temporary Internet Files\Content.IE5\BZS5U11S\Biohazard_symbol_(re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ps.CAMPUS\AppData\Local\Microsoft\Windows\Temporary Internet Files\Content.IE5\BZS5U11S\Biohazard_symbol_(red).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0E5" w:rsidRPr="008C30E3">
              <w:rPr>
                <w:color w:val="808080" w:themeColor="background1" w:themeShade="80"/>
                <w:sz w:val="32"/>
                <w:szCs w:val="32"/>
              </w:rPr>
              <w:t>Biosafety Level 2</w:t>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CC4F9E" w:rsidP="005A60E5">
            <w:pPr>
              <w:pStyle w:val="NoSpacing"/>
            </w:pPr>
            <w:r>
              <w:t>Adenovirus</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60"/>
      </w:tblGrid>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60" w:type="dxa"/>
            <w:tcBorders>
              <w:top w:val="nil"/>
              <w:left w:val="nil"/>
              <w:bottom w:val="nil"/>
              <w:right w:val="nil"/>
            </w:tcBorders>
          </w:tcPr>
          <w:p w:rsidR="00CF7DDC" w:rsidRPr="008F2A2C" w:rsidRDefault="003D35C2" w:rsidP="00CF7DDC">
            <w:pPr>
              <w:rPr>
                <w:i/>
              </w:rPr>
            </w:pPr>
            <w:r>
              <w:rPr>
                <w:i/>
                <w:color w:val="FFC000"/>
                <w:sz w:val="20"/>
                <w:szCs w:val="20"/>
              </w:rPr>
              <w:t>Work with adenoviruses</w:t>
            </w:r>
            <w:r w:rsidR="00CF7DDC" w:rsidRPr="001F1A5E">
              <w:rPr>
                <w:i/>
                <w:color w:val="FFC000"/>
                <w:sz w:val="20"/>
                <w:szCs w:val="20"/>
              </w:rPr>
              <w:t xml:space="preserve"> and other agents handled at biosafety level 2 require a BUA and may only be performed in reserved, pre-approved locations on campus.  See </w:t>
            </w:r>
            <w:hyperlink r:id="rId10" w:history="1">
              <w:r w:rsidR="00CF7DDC" w:rsidRPr="001F1A5E">
                <w:rPr>
                  <w:rStyle w:val="Hyperlink"/>
                  <w:i/>
                  <w:color w:val="4F81BD" w:themeColor="accent1"/>
                  <w:sz w:val="20"/>
                  <w:szCs w:val="20"/>
                </w:rPr>
                <w:t>http://ehs.berkeley.edu/biosafety</w:t>
              </w:r>
            </w:hyperlink>
            <w:r w:rsidR="00CF7DDC" w:rsidRPr="001F1A5E">
              <w:rPr>
                <w:i/>
                <w:color w:val="4F81BD" w:themeColor="accent1"/>
                <w:sz w:val="20"/>
                <w:szCs w:val="20"/>
              </w:rPr>
              <w:t xml:space="preserve">  </w:t>
            </w:r>
            <w:r w:rsidR="00CF7DDC" w:rsidRPr="001F1A5E">
              <w:rPr>
                <w:i/>
                <w:color w:val="FFC000"/>
                <w:sz w:val="20"/>
                <w:szCs w:val="20"/>
              </w:rPr>
              <w:t>or contact EH&amp;S at 642-3073 for authorization and biosafety training prior to beginning work</w:t>
            </w:r>
            <w:r w:rsidR="00CF7DDC" w:rsidRPr="001F1A5E">
              <w:rPr>
                <w:i/>
                <w:color w:val="FFC000"/>
              </w:rPr>
              <w:t xml:space="preserve">.  </w:t>
            </w:r>
          </w:p>
          <w:p w:rsidR="00CF7DDC" w:rsidRDefault="00CF7DDC" w:rsidP="00CF7DDC"/>
          <w:p w:rsidR="00831228" w:rsidRDefault="003A3134" w:rsidP="00831228">
            <w:r>
              <w:t xml:space="preserve">Adenoviruses are common causes of respiratory illness, but most infections are not severe. They can cause cold-like symptoms, sore throat, bronchitis, pneumonia, diarrhea, and pink eye (conjunctivitis). You can get an adenovirus infection at any age, but infants and people with weakened immune systems are more likely than others to develop severe illness from adenoviruses. </w:t>
            </w:r>
            <w:r w:rsidR="00831228">
              <w:t xml:space="preserve">Adenoviruses do not need to be replication competent to cause corneal and conjunctival damage. </w:t>
            </w:r>
            <w:r>
              <w:t xml:space="preserve">The replication-defective virus may be </w:t>
            </w:r>
            <w:r w:rsidR="00831228">
              <w:t xml:space="preserve">complemented in vivo </w:t>
            </w:r>
            <w:r w:rsidR="002F2E68">
              <w:t>thereby causing</w:t>
            </w:r>
            <w:r w:rsidR="00831228">
              <w:t xml:space="preserve"> the </w:t>
            </w:r>
            <w:r>
              <w:t>vector to become replication competent.</w:t>
            </w:r>
            <w:r w:rsidR="00831228">
              <w:t xml:space="preserve"> </w:t>
            </w:r>
            <w:r w:rsidR="002F2E68">
              <w:t>Symptoms include acute respiratory Illness (cold-like symptoms), pneumonia, conjunctival infection (or red eye), and corneal inflammation leading up to scarification.</w:t>
            </w:r>
          </w:p>
          <w:p w:rsidR="00A73957" w:rsidRDefault="00A73957" w:rsidP="00CF7DD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 highest risk of human infection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r w:rsidRPr="008F2A2C">
              <w:t>Hazards of aerosol exposure</w:t>
            </w:r>
            <w:r w:rsidR="001F1A5E">
              <w:t xml:space="preserve"> are</w:t>
            </w:r>
            <w:r w:rsidRPr="008F2A2C">
              <w:t xml:space="preserve"> unknown.</w:t>
            </w:r>
            <w:r>
              <w:t xml:space="preserve"> </w:t>
            </w:r>
          </w:p>
          <w:p w:rsidR="00A73957" w:rsidRDefault="00A73957" w:rsidP="00CF7DDC"/>
          <w:p w:rsidR="00CF7DDC" w:rsidRDefault="00CF7DDC" w:rsidP="001F1A5E">
            <w:pPr>
              <w:pStyle w:val="Subtitle"/>
              <w:rPr>
                <w:rStyle w:val="BookTitle"/>
              </w:rPr>
            </w:pPr>
            <w:r w:rsidRPr="001F1A5E">
              <w:rPr>
                <w:rStyle w:val="BookTitle"/>
              </w:rPr>
              <w:t>Hazards specific to your vector and route of administration:</w:t>
            </w:r>
          </w:p>
          <w:p w:rsidR="001F1A5E" w:rsidRDefault="001F1A5E" w:rsidP="001F1A5E"/>
          <w:p w:rsidR="001F1A5E" w:rsidRPr="001F1A5E" w:rsidRDefault="001F1A5E" w:rsidP="001F1A5E"/>
          <w:p w:rsidR="00CF7DDC" w:rsidRDefault="00CF7DDC" w:rsidP="00CF7DDC">
            <w:pPr>
              <w:pStyle w:val="NoSpacing"/>
              <w:rPr>
                <w:rFonts w:asciiTheme="majorHAnsi" w:hAnsiTheme="majorHAnsi"/>
              </w:rPr>
            </w:pPr>
          </w:p>
        </w:tc>
      </w:tr>
      <w:tr w:rsidR="00A73957" w:rsidTr="00FB77F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60" w:type="dxa"/>
            <w:tcBorders>
              <w:top w:val="nil"/>
              <w:left w:val="nil"/>
              <w:bottom w:val="nil"/>
              <w:right w:val="nil"/>
            </w:tcBorders>
          </w:tcPr>
          <w:p w:rsidR="00A73957"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in a biosafety cabinet:</w:t>
            </w:r>
          </w:p>
          <w:p w:rsid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Lab coat</w:t>
            </w:r>
          </w:p>
          <w:p w:rsidR="008042D7" w:rsidRPr="008042D7" w:rsidRDefault="008042D7" w:rsidP="008042D7">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FD6566" w:rsidRPr="009004CE" w:rsidRDefault="00FD6566" w:rsidP="00CF7DDC">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8042D7" w:rsidRDefault="008042D7" w:rsidP="00CF7DDC">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8042D7" w:rsidRDefault="008042D7" w:rsidP="00CF7DDC">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8042D7" w:rsidRPr="009004CE" w:rsidRDefault="008042D7" w:rsidP="008042D7">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outside a biosafety cabinet include:</w:t>
            </w:r>
          </w:p>
          <w:p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Eye protection</w:t>
            </w:r>
          </w:p>
          <w:p w:rsidR="008042D7" w:rsidRPr="008042D7" w:rsidRDefault="008042D7" w:rsidP="008042D7">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Surgical mask or face shield</w:t>
            </w:r>
            <w:r w:rsidR="00DE05DE">
              <w:rPr>
                <w:rStyle w:val="IntenseReference"/>
                <w:b w:val="0"/>
                <w:bCs w:val="0"/>
                <w:smallCaps w:val="0"/>
                <w:color w:val="auto"/>
                <w:spacing w:val="0"/>
                <w:u w:val="none"/>
              </w:rPr>
              <w:t xml:space="preserve"> (disposable)</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lastRenderedPageBreak/>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60"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427520" w:rsidRDefault="00427520" w:rsidP="00427520">
            <w:r w:rsidRPr="008F2A2C">
              <w:t xml:space="preserve">Viral vectors will be purchased/obtained from </w:t>
            </w:r>
            <w:r w:rsidRPr="00427520">
              <w:rPr>
                <w:i/>
                <w:color w:val="F6BB00"/>
                <w:sz w:val="20"/>
                <w:szCs w:val="20"/>
              </w:rPr>
              <w:t>(List provider)</w:t>
            </w:r>
            <w:r w:rsidRPr="008F2A2C">
              <w:t xml:space="preserve">. </w:t>
            </w:r>
            <w:r>
              <w:t xml:space="preserve"> </w:t>
            </w:r>
            <w:r w:rsidRPr="008F2A2C">
              <w:t>Package will be kept intact with shipping documentation and/or maintained in double containment with proper labeling</w:t>
            </w:r>
            <w:r>
              <w:t>,</w:t>
            </w:r>
            <w:r w:rsidRPr="008F2A2C">
              <w:t xml:space="preserve"> including PI name and contact information.</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60" w:type="dxa"/>
            <w:tcBorders>
              <w:top w:val="nil"/>
              <w:left w:val="nil"/>
              <w:bottom w:val="nil"/>
              <w:right w:val="nil"/>
            </w:tcBorders>
          </w:tcPr>
          <w:p w:rsidR="00CF7DDC" w:rsidRDefault="00036CD8" w:rsidP="00036CD8">
            <w:pPr>
              <w:pStyle w:val="NoSpacing"/>
              <w:rPr>
                <w:rFonts w:asciiTheme="majorHAnsi" w:hAnsiTheme="majorHAnsi"/>
              </w:rPr>
            </w:pPr>
            <w:r w:rsidRPr="008F2A2C">
              <w:t>Virus will be carried in a</w:t>
            </w:r>
            <w:r>
              <w:t>n easily decontaminated,</w:t>
            </w:r>
            <w:r w:rsidRPr="008F2A2C">
              <w:t xml:space="preserve"> leak-proof</w:t>
            </w:r>
            <w:r>
              <w:t>,</w:t>
            </w:r>
            <w:r w:rsidRPr="008F2A2C">
              <w:t xml:space="preserve"> </w:t>
            </w:r>
            <w:r>
              <w:t>secondary container</w:t>
            </w:r>
            <w:r w:rsidRPr="008F2A2C">
              <w:t xml:space="preserve"> labeled with </w:t>
            </w:r>
            <w:r>
              <w:t xml:space="preserve">a </w:t>
            </w:r>
            <w:r w:rsidRPr="008F2A2C">
              <w:t xml:space="preserve">biohazard symbol </w:t>
            </w:r>
            <w:r>
              <w:t xml:space="preserve">and </w:t>
            </w:r>
            <w:r w:rsidRPr="008F2A2C">
              <w:t xml:space="preserve">PI name and contact information to </w:t>
            </w:r>
            <w:r w:rsidRPr="00036CD8">
              <w:t xml:space="preserve">NAF 120F, LSA 640, or Minor 599E </w:t>
            </w:r>
            <w:r>
              <w:rPr>
                <w:i/>
                <w:color w:val="F6BB00"/>
                <w:sz w:val="20"/>
                <w:szCs w:val="20"/>
              </w:rPr>
              <w:t>(</w:t>
            </w:r>
            <w:proofErr w:type="gramStart"/>
            <w:r>
              <w:rPr>
                <w:i/>
                <w:color w:val="F6BB00"/>
                <w:sz w:val="20"/>
                <w:szCs w:val="20"/>
              </w:rPr>
              <w:t>choose</w:t>
            </w:r>
            <w:proofErr w:type="gramEnd"/>
            <w:r>
              <w:rPr>
                <w:i/>
                <w:color w:val="F6BB00"/>
                <w:sz w:val="20"/>
                <w:szCs w:val="20"/>
              </w:rPr>
              <w:t xml:space="preserve"> location</w:t>
            </w:r>
            <w:r w:rsidR="00DE05DE">
              <w:rPr>
                <w:i/>
                <w:color w:val="F6BB00"/>
                <w:sz w:val="20"/>
                <w:szCs w:val="20"/>
              </w:rPr>
              <w:t xml:space="preserve"> or list approved location</w:t>
            </w:r>
            <w:r w:rsidRPr="00036CD8">
              <w:rPr>
                <w:i/>
                <w:color w:val="F6BB00"/>
                <w:sz w:val="20"/>
                <w:szCs w:val="20"/>
              </w:rPr>
              <w:t>)</w:t>
            </w:r>
            <w:r>
              <w:t>.</w:t>
            </w: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Use</w:t>
            </w:r>
          </w:p>
        </w:tc>
        <w:tc>
          <w:tcPr>
            <w:tcW w:w="7560" w:type="dxa"/>
            <w:tcBorders>
              <w:top w:val="nil"/>
              <w:left w:val="nil"/>
              <w:bottom w:val="nil"/>
              <w:right w:val="nil"/>
            </w:tcBorders>
          </w:tcPr>
          <w:p w:rsidR="00DE05DE" w:rsidRDefault="00DE05DE" w:rsidP="00DE05DE">
            <w:pPr>
              <w:rPr>
                <w:b/>
              </w:rPr>
            </w:pPr>
            <w:r w:rsidRPr="008F2A2C">
              <w:t xml:space="preserve">While working in </w:t>
            </w:r>
            <w:r w:rsidRPr="00036CD8">
              <w:t xml:space="preserve">NAF 120F, LSA 640, or Minor 599E </w:t>
            </w:r>
            <w:r>
              <w:rPr>
                <w:i/>
                <w:color w:val="F6BB00"/>
                <w:sz w:val="20"/>
                <w:szCs w:val="20"/>
              </w:rPr>
              <w:t>(choose location or list approved location</w:t>
            </w:r>
            <w:r w:rsidRPr="00036CD8">
              <w:rPr>
                <w:i/>
                <w:color w:val="F6BB00"/>
                <w:sz w:val="20"/>
                <w:szCs w:val="20"/>
              </w:rPr>
              <w:t>)</w:t>
            </w:r>
            <w:r>
              <w:t xml:space="preserve"> </w:t>
            </w:r>
            <w:r w:rsidRPr="008F2A2C">
              <w:t xml:space="preserve">with virus and </w:t>
            </w:r>
            <w:r>
              <w:t>if handling</w:t>
            </w:r>
            <w:r w:rsidRPr="008F2A2C">
              <w:t xml:space="preserve"> </w:t>
            </w:r>
            <w:r w:rsidR="00831228">
              <w:t>infected animals</w:t>
            </w:r>
            <w:r>
              <w:t>,</w:t>
            </w:r>
            <w:r w:rsidRPr="008F2A2C">
              <w:t xml:space="preserve"> the following PPE must be worn: </w:t>
            </w:r>
            <w:r w:rsidRPr="008F2A2C">
              <w:rPr>
                <w:b/>
              </w:rPr>
              <w:t>Disposable Gown, Gloves, Face Shield</w:t>
            </w:r>
            <w:r>
              <w:rPr>
                <w:b/>
              </w:rPr>
              <w:t xml:space="preserve"> (Disposable</w:t>
            </w:r>
            <w:r w:rsidR="00831228">
              <w:rPr>
                <w:b/>
              </w:rPr>
              <w:t xml:space="preserve"> – if outside biosafety cabinet</w:t>
            </w:r>
            <w:r>
              <w:rPr>
                <w:b/>
              </w:rPr>
              <w:t>)</w:t>
            </w:r>
            <w:r w:rsidRPr="008F2A2C">
              <w:rPr>
                <w:b/>
              </w:rPr>
              <w:t xml:space="preserve">.  </w:t>
            </w:r>
          </w:p>
          <w:p w:rsidR="00DE05DE" w:rsidRDefault="00DE05DE" w:rsidP="00DE05DE">
            <w:pPr>
              <w:rPr>
                <w:b/>
              </w:rPr>
            </w:pPr>
          </w:p>
          <w:p w:rsidR="00DE05DE" w:rsidRPr="00AF7A52"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Description of infection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FB77F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60"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70% ethanol or 10% bleach.  </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 </w:t>
            </w:r>
            <w:r>
              <w:t>DO NOT recap needles.</w:t>
            </w:r>
            <w:r w:rsidRPr="00692B51">
              <w:t xml:space="preserve"> When 2/3 full, these containers should be placed in a red barrel for disposal as biohazardous waste.  </w:t>
            </w:r>
          </w:p>
          <w:p w:rsidR="009120F5" w:rsidRDefault="009120F5" w:rsidP="009120F5">
            <w:pPr>
              <w:numPr>
                <w:ilvl w:val="0"/>
                <w:numId w:val="3"/>
              </w:numPr>
            </w:pPr>
            <w:r w:rsidRPr="00692B51">
              <w:t xml:space="preserve">All potentially contaminated lab debris should be collected in a red biohazard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biohazardous waste.  </w:t>
            </w:r>
          </w:p>
          <w:p w:rsidR="009120F5" w:rsidRDefault="009120F5" w:rsidP="009120F5">
            <w:pPr>
              <w:numPr>
                <w:ilvl w:val="0"/>
                <w:numId w:val="3"/>
              </w:numPr>
            </w:pPr>
            <w:r w:rsidRPr="002D7244">
              <w:t xml:space="preserve">Any waste ethanol, if not absorbed, should be decanted from solid waste and disposed as chemical waste, see </w:t>
            </w:r>
            <w:hyperlink r:id="rId11" w:history="1">
              <w:r w:rsidRPr="009120F5">
                <w:rPr>
                  <w:rStyle w:val="Hyperlink"/>
                  <w:i/>
                  <w:color w:val="4F81BD" w:themeColor="accent1"/>
                  <w:sz w:val="20"/>
                  <w:szCs w:val="20"/>
                </w:rPr>
                <w:t>http://ehs.berkeley.edu/hazardous-materials</w:t>
              </w:r>
            </w:hyperlink>
            <w:r>
              <w:t xml:space="preserve"> </w:t>
            </w:r>
            <w:r w:rsidRPr="002D7244">
              <w:t xml:space="preserve">for guidance.  </w:t>
            </w:r>
          </w:p>
          <w:p w:rsidR="009120F5" w:rsidRDefault="009120F5" w:rsidP="009120F5">
            <w:pPr>
              <w:numPr>
                <w:ilvl w:val="0"/>
                <w:numId w:val="3"/>
              </w:numPr>
            </w:pPr>
            <w:r w:rsidRPr="002D7244">
              <w:t xml:space="preserve">Infectious liquid waste, including excess suspended virus, will be treated </w:t>
            </w:r>
            <w:r>
              <w:t>to create an overall</w:t>
            </w:r>
            <w:r w:rsidRPr="002D7244">
              <w:t xml:space="preserve"> 10% bleach</w:t>
            </w:r>
            <w:r>
              <w:t xml:space="preserve"> solution</w:t>
            </w:r>
            <w:r w:rsidRPr="002D7244">
              <w:t xml:space="preserve"> for 30 min, and may then be drain disposed.</w:t>
            </w:r>
          </w:p>
          <w:p w:rsidR="00CF7DDC" w:rsidRDefault="00FB77F7" w:rsidP="00831228">
            <w:pPr>
              <w:pStyle w:val="NoSpacing"/>
              <w:numPr>
                <w:ilvl w:val="0"/>
                <w:numId w:val="3"/>
              </w:numPr>
              <w:rPr>
                <w:rFonts w:asciiTheme="majorHAnsi" w:hAnsiTheme="majorHAnsi"/>
              </w:rPr>
            </w:pPr>
            <w:r w:rsidRPr="00FB77F7">
              <w:t xml:space="preserve">After infection, disposable cages </w:t>
            </w:r>
            <w:r w:rsidR="00831228">
              <w:t>must be</w:t>
            </w:r>
            <w:r w:rsidRPr="00FB77F7">
              <w:t xml:space="preserve"> ret</w:t>
            </w:r>
            <w:r w:rsidR="00831228">
              <w:t>urned directly to ABSL2 housing and</w:t>
            </w:r>
            <w:r w:rsidRPr="00FB77F7">
              <w:t xml:space="preserve"> the cage card (obtain from OLAC) must be labeled to indicate the hazard type, agent, date of administration</w:t>
            </w:r>
            <w:r w:rsidR="00831228">
              <w:t xml:space="preserve">. </w:t>
            </w:r>
            <w:r w:rsidRPr="00FB77F7">
              <w:t>Complete the “OLAC Do Not Change” card with PI responsible cage chan</w:t>
            </w:r>
            <w:r>
              <w:t>ge dates as applicable</w:t>
            </w:r>
            <w:r w:rsidR="00831228">
              <w:t xml:space="preserve"> if the laboratory will be responsible for care</w:t>
            </w:r>
            <w:r>
              <w:t xml:space="preserve">. </w:t>
            </w:r>
            <w:r w:rsidR="00831228">
              <w:t xml:space="preserve"> A</w:t>
            </w:r>
            <w:r w:rsidRPr="00FB77F7">
              <w:t xml:space="preserve">nimals can be transferred to clean </w:t>
            </w:r>
            <w:r w:rsidR="00831228">
              <w:t>disposable</w:t>
            </w:r>
            <w:r w:rsidRPr="00FB77F7">
              <w:t xml:space="preserve"> cages by the researcher</w:t>
            </w:r>
            <w:r w:rsidR="00831228">
              <w:t xml:space="preserve"> or OLAC staff</w:t>
            </w:r>
            <w:r w:rsidRPr="00FB77F7">
              <w:t xml:space="preserve"> within a functioning biosafety cabinet.  Within the biosafety cabinet, used cages and bedding should be bagged within biohaza</w:t>
            </w:r>
            <w:r w:rsidR="00831228">
              <w:t>rd bags and disposed of as</w:t>
            </w:r>
            <w:r w:rsidRPr="00FB77F7">
              <w:t xml:space="preserve"> </w:t>
            </w:r>
            <w:r>
              <w:t>biohazard</w:t>
            </w:r>
            <w:r w:rsidRPr="00FB77F7">
              <w:t xml:space="preserve"> waste. </w:t>
            </w:r>
            <w:r w:rsidR="00831228">
              <w:t xml:space="preserve">Water not contaminated with </w:t>
            </w:r>
            <w:proofErr w:type="spellStart"/>
            <w:r w:rsidR="00831228">
              <w:t>adenvirus</w:t>
            </w:r>
            <w:proofErr w:type="spellEnd"/>
            <w:r w:rsidRPr="00FB77F7">
              <w:t xml:space="preserve"> can be </w:t>
            </w:r>
            <w:r w:rsidRPr="00FB77F7">
              <w:lastRenderedPageBreak/>
              <w:t>disposed of by normal OLAC procedures.</w:t>
            </w: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60" w:type="dxa"/>
            <w:tcBorders>
              <w:top w:val="nil"/>
              <w:left w:val="nil"/>
              <w:bottom w:val="nil"/>
              <w:right w:val="nil"/>
            </w:tcBorders>
          </w:tcPr>
          <w:p w:rsidR="000A4122" w:rsidRDefault="000A4122" w:rsidP="000A4122">
            <w:pPr>
              <w:pStyle w:val="NoSpacing"/>
              <w:rPr>
                <w:sz w:val="18"/>
                <w:szCs w:val="18"/>
              </w:rPr>
            </w:pPr>
            <w:r w:rsidRPr="000A4122">
              <w:rPr>
                <w:sz w:val="18"/>
                <w:szCs w:val="18"/>
              </w:rPr>
              <w:t>Susceptibility to disinfectants: - 1% sodium hypochlorite, 2% glutara</w:t>
            </w:r>
            <w:r>
              <w:rPr>
                <w:sz w:val="18"/>
                <w:szCs w:val="18"/>
              </w:rPr>
              <w:t>ldehyde, formaldehyde, ethanol</w:t>
            </w:r>
          </w:p>
          <w:p w:rsidR="000A4122" w:rsidRPr="000A4122" w:rsidRDefault="000A4122" w:rsidP="000A4122">
            <w:pPr>
              <w:pStyle w:val="NoSpacing"/>
              <w:rPr>
                <w:sz w:val="18"/>
                <w:szCs w:val="18"/>
              </w:rPr>
            </w:pPr>
            <w:r>
              <w:rPr>
                <w:sz w:val="18"/>
                <w:szCs w:val="18"/>
              </w:rPr>
              <w:t>Recommended disinfectants: 10% household bleach or 70% ethanol with proper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D03FBF" w:rsidRDefault="00D03FBF" w:rsidP="00D03FBF">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rsidR="00D03FBF" w:rsidRDefault="00D03FBF" w:rsidP="00D03FBF">
            <w:pPr>
              <w:pStyle w:val="NoSpacing"/>
            </w:pPr>
            <w:r>
              <w:t xml:space="preserve">Report the incident to your supervisor and the Occupational Health Clinic at 2-6891 for follow up. </w:t>
            </w:r>
          </w:p>
          <w:p w:rsidR="00D03FBF" w:rsidRDefault="00D03FBF" w:rsidP="00D03FBF">
            <w:pPr>
              <w:pStyle w:val="NoSpacing"/>
            </w:pPr>
          </w:p>
          <w:p w:rsidR="00D03FBF" w:rsidRDefault="00D03FBF" w:rsidP="00D03FBF">
            <w:pPr>
              <w:pStyle w:val="NoSpacing"/>
            </w:pPr>
            <w:r>
              <w:t>Medical attention during normal business hours: Tang Center Urgent Care (2-3188 or 3-7197); after hours go to urgent or emergency care: Alta Bates Hospital at 2450 Ashby (204-4444).</w:t>
            </w:r>
          </w:p>
          <w:p w:rsidR="00CF7DDC" w:rsidRPr="000A4122" w:rsidRDefault="00CF7DDC" w:rsidP="000A4122">
            <w:pPr>
              <w:pStyle w:val="NoSpacing"/>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60"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0A4122" w:rsidRDefault="00831228" w:rsidP="000A4122">
            <w:pPr>
              <w:pStyle w:val="NoSpacing"/>
            </w:pPr>
            <w:r>
              <w:t xml:space="preserve">Cage cards </w:t>
            </w:r>
            <w:r w:rsidRPr="00FB77F7">
              <w:t xml:space="preserve">must be labeled to indicate the hazard type, agent, </w:t>
            </w:r>
            <w:proofErr w:type="gramStart"/>
            <w:r w:rsidRPr="00FB77F7">
              <w:t>date</w:t>
            </w:r>
            <w:proofErr w:type="gramEnd"/>
            <w:r w:rsidRPr="00FB77F7">
              <w:t xml:space="preserve"> of administration</w:t>
            </w:r>
            <w:r>
              <w:t xml:space="preserve">. </w:t>
            </w:r>
            <w:r w:rsidRPr="00FB77F7">
              <w:t>Complete the “OLAC Do Not Change” card with PI responsible cage chan</w:t>
            </w:r>
            <w:r>
              <w:t>ge dates as applicable if the laboratory will be responsible for care.</w:t>
            </w:r>
          </w:p>
          <w:p w:rsidR="00FB77F7" w:rsidRDefault="00FB77F7" w:rsidP="000A4122">
            <w:pPr>
              <w:pStyle w:val="NoSpacing"/>
            </w:pPr>
          </w:p>
          <w:p w:rsidR="00CF7DDC" w:rsidRPr="000A4122" w:rsidRDefault="000A4122" w:rsidP="00FB77F7">
            <w:pPr>
              <w:pStyle w:val="NoSpacing"/>
            </w:pPr>
            <w:r>
              <w:t xml:space="preserve">EH&amp;S and an OLAC veterinarian must review and date this SOP prior to starting this work within an animal </w:t>
            </w:r>
            <w:r w:rsidRPr="00FB77F7">
              <w:t>facility.  Obtain cage cards</w:t>
            </w:r>
            <w:r w:rsidR="00FB77F7" w:rsidRPr="00FB77F7">
              <w:t>, disposable cages and labels</w:t>
            </w:r>
            <w:r w:rsidRPr="00FB77F7">
              <w:t xml:space="preserve"> from OLAC</w:t>
            </w:r>
            <w:r w:rsidR="00FB77F7" w:rsidRPr="00FB77F7">
              <w:t xml:space="preserve"> by submitting a special request at least 7 days in advance</w:t>
            </w:r>
            <w:r w:rsidRPr="00FB77F7">
              <w:t>.  During</w:t>
            </w:r>
            <w:r>
              <w:t xml:space="preserve"> injections this SOP must be posted in a plastic sleeve on the door of NAF 120F, LSA 640, Minor 599E </w:t>
            </w:r>
            <w:r w:rsidR="006036B6">
              <w:rPr>
                <w:i/>
                <w:color w:val="F6BB00"/>
                <w:sz w:val="20"/>
                <w:szCs w:val="20"/>
              </w:rPr>
              <w:t>(choose location or list approved location</w:t>
            </w:r>
            <w:r w:rsidR="006036B6" w:rsidRPr="00036CD8">
              <w:rPr>
                <w:i/>
                <w:color w:val="F6BB00"/>
                <w:sz w:val="20"/>
                <w:szCs w:val="20"/>
              </w:rPr>
              <w:t>)</w:t>
            </w:r>
            <w:r w:rsidR="006036B6">
              <w:rPr>
                <w:i/>
                <w:color w:val="F6BB00"/>
                <w:sz w:val="20"/>
                <w:szCs w:val="20"/>
              </w:rPr>
              <w:t xml:space="preserve"> </w:t>
            </w:r>
            <w:r>
              <w:t xml:space="preserve">to notify OLAC staff and other personnel.  </w:t>
            </w: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Unique Instructions</w:t>
            </w:r>
          </w:p>
        </w:tc>
        <w:tc>
          <w:tcPr>
            <w:tcW w:w="7560" w:type="dxa"/>
            <w:tcBorders>
              <w:top w:val="nil"/>
              <w:left w:val="nil"/>
              <w:bottom w:val="nil"/>
              <w:right w:val="nil"/>
            </w:tcBorders>
          </w:tcPr>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FB77F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60"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2"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FC51BA" w:rsidP="00231CCD">
            <w:pPr>
              <w:pStyle w:val="NoSpacing"/>
            </w:pPr>
            <w:hyperlink r:id="rId13" w:history="1">
              <w:r w:rsidR="00231CCD" w:rsidRPr="007C570B">
                <w:rPr>
                  <w:rStyle w:val="Hyperlink"/>
                </w:rPr>
                <w:t>http://www.stanford.edu/dept/EHS/prod/researchlab/bio/docs/Working_with_Viral_Vectors.pdf</w:t>
              </w:r>
            </w:hyperlink>
            <w:r w:rsidR="00231CCD">
              <w:t xml:space="preserve"> </w:t>
            </w:r>
          </w:p>
          <w:p w:rsidR="00231CCD" w:rsidRDefault="00FC51BA" w:rsidP="00231CCD">
            <w:pPr>
              <w:pStyle w:val="NoSpacing"/>
            </w:pPr>
            <w:hyperlink r:id="rId14" w:history="1">
              <w:r w:rsidR="00831228" w:rsidRPr="00263D0E">
                <w:rPr>
                  <w:rStyle w:val="Hyperlink"/>
                </w:rPr>
                <w:t>https://www.canada.ca/en/public-health/services/laboratory-biosafety-biosecurity/pathogen-safety-data-sheets-risk-assessment/adenovirus-serotypes-</w:t>
              </w:r>
              <w:r w:rsidR="00831228" w:rsidRPr="00263D0E">
                <w:rPr>
                  <w:rStyle w:val="Hyperlink"/>
                </w:rPr>
                <w:lastRenderedPageBreak/>
                <w:t>40-41.html</w:t>
              </w:r>
            </w:hyperlink>
            <w:r w:rsidR="00831228">
              <w:t xml:space="preserve"> </w:t>
            </w: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7B5A8B" w:rsidRDefault="007B5A8B" w:rsidP="007B5A8B">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p w:rsidR="00D93587" w:rsidRPr="005A60E5" w:rsidRDefault="00D93587" w:rsidP="007B5A8B">
      <w:pPr>
        <w:pStyle w:val="Header"/>
        <w:rPr>
          <w:rFonts w:asciiTheme="majorHAnsi" w:hAnsiTheme="majorHAnsi"/>
        </w:rPr>
      </w:pPr>
      <w:bookmarkStart w:id="0" w:name="_GoBack"/>
      <w:bookmarkEnd w:id="0"/>
    </w:p>
    <w:sectPr w:rsidR="00D93587" w:rsidRPr="005A60E5" w:rsidSect="00D9358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BA" w:rsidRDefault="00FC51BA" w:rsidP="00405EB3">
      <w:pPr>
        <w:spacing w:after="0" w:line="240" w:lineRule="auto"/>
      </w:pPr>
      <w:r>
        <w:separator/>
      </w:r>
    </w:p>
  </w:endnote>
  <w:endnote w:type="continuationSeparator" w:id="0">
    <w:p w:rsidR="00FC51BA" w:rsidRDefault="00FC51BA"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BA" w:rsidRDefault="00FC51BA" w:rsidP="00405EB3">
      <w:pPr>
        <w:spacing w:after="0" w:line="240" w:lineRule="auto"/>
      </w:pPr>
      <w:r>
        <w:separator/>
      </w:r>
    </w:p>
  </w:footnote>
  <w:footnote w:type="continuationSeparator" w:id="0">
    <w:p w:rsidR="00FC51BA" w:rsidRDefault="00FC51BA"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36CD8"/>
    <w:rsid w:val="000A4122"/>
    <w:rsid w:val="001436B6"/>
    <w:rsid w:val="0017152A"/>
    <w:rsid w:val="001B7025"/>
    <w:rsid w:val="001E0152"/>
    <w:rsid w:val="001F1A5E"/>
    <w:rsid w:val="00231CCD"/>
    <w:rsid w:val="00244337"/>
    <w:rsid w:val="002F2E68"/>
    <w:rsid w:val="003A3134"/>
    <w:rsid w:val="003D35C2"/>
    <w:rsid w:val="00405EB3"/>
    <w:rsid w:val="00427520"/>
    <w:rsid w:val="00470313"/>
    <w:rsid w:val="004D0735"/>
    <w:rsid w:val="005A60E5"/>
    <w:rsid w:val="005F6996"/>
    <w:rsid w:val="006036B6"/>
    <w:rsid w:val="007B5A8B"/>
    <w:rsid w:val="008042D7"/>
    <w:rsid w:val="00831228"/>
    <w:rsid w:val="008C30E3"/>
    <w:rsid w:val="009004CE"/>
    <w:rsid w:val="009120F5"/>
    <w:rsid w:val="0094728F"/>
    <w:rsid w:val="00A1294E"/>
    <w:rsid w:val="00A73957"/>
    <w:rsid w:val="00AF7A52"/>
    <w:rsid w:val="00B81626"/>
    <w:rsid w:val="00C10142"/>
    <w:rsid w:val="00C925D2"/>
    <w:rsid w:val="00CC4F9E"/>
    <w:rsid w:val="00CF7DDC"/>
    <w:rsid w:val="00D03FBF"/>
    <w:rsid w:val="00D156B7"/>
    <w:rsid w:val="00D93587"/>
    <w:rsid w:val="00DE05DE"/>
    <w:rsid w:val="00F1123F"/>
    <w:rsid w:val="00FB77F7"/>
    <w:rsid w:val="00FC51BA"/>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2634">
      <w:bodyDiv w:val="1"/>
      <w:marLeft w:val="0"/>
      <w:marRight w:val="0"/>
      <w:marTop w:val="0"/>
      <w:marBottom w:val="0"/>
      <w:divBdr>
        <w:top w:val="none" w:sz="0" w:space="0" w:color="auto"/>
        <w:left w:val="none" w:sz="0" w:space="0" w:color="auto"/>
        <w:bottom w:val="none" w:sz="0" w:space="0" w:color="auto"/>
        <w:right w:val="none" w:sz="0" w:space="0" w:color="auto"/>
      </w:divBdr>
      <w:divsChild>
        <w:div w:id="483351551">
          <w:marLeft w:val="0"/>
          <w:marRight w:val="0"/>
          <w:marTop w:val="0"/>
          <w:marBottom w:val="0"/>
          <w:divBdr>
            <w:top w:val="none" w:sz="0" w:space="0" w:color="auto"/>
            <w:left w:val="none" w:sz="0" w:space="0" w:color="auto"/>
            <w:bottom w:val="none" w:sz="0" w:space="0" w:color="auto"/>
            <w:right w:val="none" w:sz="0" w:space="0" w:color="auto"/>
          </w:divBdr>
        </w:div>
        <w:div w:id="1976526415">
          <w:marLeft w:val="0"/>
          <w:marRight w:val="0"/>
          <w:marTop w:val="0"/>
          <w:marBottom w:val="0"/>
          <w:divBdr>
            <w:top w:val="none" w:sz="0" w:space="0" w:color="auto"/>
            <w:left w:val="none" w:sz="0" w:space="0" w:color="auto"/>
            <w:bottom w:val="none" w:sz="0" w:space="0" w:color="auto"/>
            <w:right w:val="none" w:sz="0" w:space="0" w:color="auto"/>
          </w:divBdr>
        </w:div>
        <w:div w:id="510069955">
          <w:marLeft w:val="0"/>
          <w:marRight w:val="0"/>
          <w:marTop w:val="0"/>
          <w:marBottom w:val="0"/>
          <w:divBdr>
            <w:top w:val="none" w:sz="0" w:space="0" w:color="auto"/>
            <w:left w:val="none" w:sz="0" w:space="0" w:color="auto"/>
            <w:bottom w:val="none" w:sz="0" w:space="0" w:color="auto"/>
            <w:right w:val="none" w:sz="0" w:space="0" w:color="auto"/>
          </w:divBdr>
        </w:div>
      </w:divsChild>
    </w:div>
    <w:div w:id="1099719863">
      <w:bodyDiv w:val="1"/>
      <w:marLeft w:val="0"/>
      <w:marRight w:val="0"/>
      <w:marTop w:val="0"/>
      <w:marBottom w:val="0"/>
      <w:divBdr>
        <w:top w:val="none" w:sz="0" w:space="0" w:color="auto"/>
        <w:left w:val="none" w:sz="0" w:space="0" w:color="auto"/>
        <w:bottom w:val="none" w:sz="0" w:space="0" w:color="auto"/>
        <w:right w:val="none" w:sz="0" w:space="0" w:color="auto"/>
      </w:divBdr>
    </w:div>
    <w:div w:id="1523008717">
      <w:bodyDiv w:val="1"/>
      <w:marLeft w:val="0"/>
      <w:marRight w:val="0"/>
      <w:marTop w:val="0"/>
      <w:marBottom w:val="0"/>
      <w:divBdr>
        <w:top w:val="none" w:sz="0" w:space="0" w:color="auto"/>
        <w:left w:val="none" w:sz="0" w:space="0" w:color="auto"/>
        <w:bottom w:val="none" w:sz="0" w:space="0" w:color="auto"/>
        <w:right w:val="none" w:sz="0" w:space="0" w:color="auto"/>
      </w:divBdr>
      <w:divsChild>
        <w:div w:id="1489786486">
          <w:marLeft w:val="0"/>
          <w:marRight w:val="0"/>
          <w:marTop w:val="0"/>
          <w:marBottom w:val="0"/>
          <w:divBdr>
            <w:top w:val="none" w:sz="0" w:space="0" w:color="auto"/>
            <w:left w:val="none" w:sz="0" w:space="0" w:color="auto"/>
            <w:bottom w:val="none" w:sz="0" w:space="0" w:color="auto"/>
            <w:right w:val="none" w:sz="0" w:space="0" w:color="auto"/>
          </w:divBdr>
        </w:div>
        <w:div w:id="495415669">
          <w:marLeft w:val="0"/>
          <w:marRight w:val="0"/>
          <w:marTop w:val="0"/>
          <w:marBottom w:val="0"/>
          <w:divBdr>
            <w:top w:val="none" w:sz="0" w:space="0" w:color="auto"/>
            <w:left w:val="none" w:sz="0" w:space="0" w:color="auto"/>
            <w:bottom w:val="none" w:sz="0" w:space="0" w:color="auto"/>
            <w:right w:val="none" w:sz="0" w:space="0" w:color="auto"/>
          </w:divBdr>
        </w:div>
        <w:div w:id="1027364234">
          <w:marLeft w:val="0"/>
          <w:marRight w:val="0"/>
          <w:marTop w:val="0"/>
          <w:marBottom w:val="0"/>
          <w:divBdr>
            <w:top w:val="none" w:sz="0" w:space="0" w:color="auto"/>
            <w:left w:val="none" w:sz="0" w:space="0" w:color="auto"/>
            <w:bottom w:val="none" w:sz="0" w:space="0" w:color="auto"/>
            <w:right w:val="none" w:sz="0" w:space="0" w:color="auto"/>
          </w:divBdr>
        </w:div>
        <w:div w:id="1123690709">
          <w:marLeft w:val="0"/>
          <w:marRight w:val="0"/>
          <w:marTop w:val="0"/>
          <w:marBottom w:val="0"/>
          <w:divBdr>
            <w:top w:val="none" w:sz="0" w:space="0" w:color="auto"/>
            <w:left w:val="none" w:sz="0" w:space="0" w:color="auto"/>
            <w:bottom w:val="none" w:sz="0" w:space="0" w:color="auto"/>
            <w:right w:val="none" w:sz="0" w:space="0" w:color="auto"/>
          </w:divBdr>
        </w:div>
        <w:div w:id="269512197">
          <w:marLeft w:val="0"/>
          <w:marRight w:val="0"/>
          <w:marTop w:val="0"/>
          <w:marBottom w:val="0"/>
          <w:divBdr>
            <w:top w:val="none" w:sz="0" w:space="0" w:color="auto"/>
            <w:left w:val="none" w:sz="0" w:space="0" w:color="auto"/>
            <w:bottom w:val="none" w:sz="0" w:space="0" w:color="auto"/>
            <w:right w:val="none" w:sz="0" w:space="0" w:color="auto"/>
          </w:divBdr>
        </w:div>
        <w:div w:id="1491866657">
          <w:marLeft w:val="0"/>
          <w:marRight w:val="0"/>
          <w:marTop w:val="0"/>
          <w:marBottom w:val="0"/>
          <w:divBdr>
            <w:top w:val="none" w:sz="0" w:space="0" w:color="auto"/>
            <w:left w:val="none" w:sz="0" w:space="0" w:color="auto"/>
            <w:bottom w:val="none" w:sz="0" w:space="0" w:color="auto"/>
            <w:right w:val="none" w:sz="0" w:space="0" w:color="auto"/>
          </w:divBdr>
        </w:div>
        <w:div w:id="1453162245">
          <w:marLeft w:val="0"/>
          <w:marRight w:val="0"/>
          <w:marTop w:val="0"/>
          <w:marBottom w:val="0"/>
          <w:divBdr>
            <w:top w:val="none" w:sz="0" w:space="0" w:color="auto"/>
            <w:left w:val="none" w:sz="0" w:space="0" w:color="auto"/>
            <w:bottom w:val="none" w:sz="0" w:space="0" w:color="auto"/>
            <w:right w:val="none" w:sz="0" w:space="0" w:color="auto"/>
          </w:divBdr>
        </w:div>
        <w:div w:id="29110058">
          <w:marLeft w:val="0"/>
          <w:marRight w:val="0"/>
          <w:marTop w:val="0"/>
          <w:marBottom w:val="0"/>
          <w:divBdr>
            <w:top w:val="none" w:sz="0" w:space="0" w:color="auto"/>
            <w:left w:val="none" w:sz="0" w:space="0" w:color="auto"/>
            <w:bottom w:val="none" w:sz="0" w:space="0" w:color="auto"/>
            <w:right w:val="none" w:sz="0" w:space="0" w:color="auto"/>
          </w:divBdr>
        </w:div>
        <w:div w:id="2045397379">
          <w:marLeft w:val="0"/>
          <w:marRight w:val="0"/>
          <w:marTop w:val="0"/>
          <w:marBottom w:val="0"/>
          <w:divBdr>
            <w:top w:val="none" w:sz="0" w:space="0" w:color="auto"/>
            <w:left w:val="none" w:sz="0" w:space="0" w:color="auto"/>
            <w:bottom w:val="none" w:sz="0" w:space="0" w:color="auto"/>
            <w:right w:val="none" w:sz="0" w:space="0" w:color="auto"/>
          </w:divBdr>
        </w:div>
        <w:div w:id="926498665">
          <w:marLeft w:val="0"/>
          <w:marRight w:val="0"/>
          <w:marTop w:val="0"/>
          <w:marBottom w:val="0"/>
          <w:divBdr>
            <w:top w:val="none" w:sz="0" w:space="0" w:color="auto"/>
            <w:left w:val="none" w:sz="0" w:space="0" w:color="auto"/>
            <w:bottom w:val="none" w:sz="0" w:space="0" w:color="auto"/>
            <w:right w:val="none" w:sz="0" w:space="0" w:color="auto"/>
          </w:divBdr>
        </w:div>
        <w:div w:id="791828048">
          <w:marLeft w:val="0"/>
          <w:marRight w:val="0"/>
          <w:marTop w:val="0"/>
          <w:marBottom w:val="0"/>
          <w:divBdr>
            <w:top w:val="none" w:sz="0" w:space="0" w:color="auto"/>
            <w:left w:val="none" w:sz="0" w:space="0" w:color="auto"/>
            <w:bottom w:val="none" w:sz="0" w:space="0" w:color="auto"/>
            <w:right w:val="none" w:sz="0" w:space="0" w:color="auto"/>
          </w:divBdr>
        </w:div>
      </w:divsChild>
    </w:div>
    <w:div w:id="2035963643">
      <w:bodyDiv w:val="1"/>
      <w:marLeft w:val="0"/>
      <w:marRight w:val="0"/>
      <w:marTop w:val="0"/>
      <w:marBottom w:val="0"/>
      <w:divBdr>
        <w:top w:val="none" w:sz="0" w:space="0" w:color="auto"/>
        <w:left w:val="none" w:sz="0" w:space="0" w:color="auto"/>
        <w:bottom w:val="none" w:sz="0" w:space="0" w:color="auto"/>
        <w:right w:val="none" w:sz="0" w:space="0" w:color="auto"/>
      </w:divBdr>
    </w:div>
    <w:div w:id="2037345484">
      <w:bodyDiv w:val="1"/>
      <w:marLeft w:val="0"/>
      <w:marRight w:val="0"/>
      <w:marTop w:val="0"/>
      <w:marBottom w:val="0"/>
      <w:divBdr>
        <w:top w:val="none" w:sz="0" w:space="0" w:color="auto"/>
        <w:left w:val="none" w:sz="0" w:space="0" w:color="auto"/>
        <w:bottom w:val="none" w:sz="0" w:space="0" w:color="auto"/>
        <w:right w:val="none" w:sz="0" w:space="0" w:color="auto"/>
      </w:divBdr>
      <w:divsChild>
        <w:div w:id="640577257">
          <w:marLeft w:val="0"/>
          <w:marRight w:val="0"/>
          <w:marTop w:val="0"/>
          <w:marBottom w:val="0"/>
          <w:divBdr>
            <w:top w:val="none" w:sz="0" w:space="0" w:color="auto"/>
            <w:left w:val="none" w:sz="0" w:space="0" w:color="auto"/>
            <w:bottom w:val="none" w:sz="0" w:space="0" w:color="auto"/>
            <w:right w:val="none" w:sz="0" w:space="0" w:color="auto"/>
          </w:divBdr>
        </w:div>
        <w:div w:id="140466021">
          <w:marLeft w:val="0"/>
          <w:marRight w:val="0"/>
          <w:marTop w:val="0"/>
          <w:marBottom w:val="0"/>
          <w:divBdr>
            <w:top w:val="none" w:sz="0" w:space="0" w:color="auto"/>
            <w:left w:val="none" w:sz="0" w:space="0" w:color="auto"/>
            <w:bottom w:val="none" w:sz="0" w:space="0" w:color="auto"/>
            <w:right w:val="none" w:sz="0" w:space="0" w:color="auto"/>
          </w:divBdr>
        </w:div>
        <w:div w:id="160861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ford.edu/dept/EHS/prod/researchlab/bio/docs/Working_with_Viral_Vector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hs.berkeley.edu/hazardous-materials/safety-data-sheets-formerly-msd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hs.berkeley.edu/biosafe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anada.ca/en/public-health/services/laboratory-biosafety-biosecurity/pathogen-safety-data-sheets-risk-assessment/adenovirus-serotypes-40-4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1C4FC6"/>
    <w:rsid w:val="002232DF"/>
    <w:rsid w:val="003B2EF4"/>
    <w:rsid w:val="006411D1"/>
    <w:rsid w:val="00711B7D"/>
    <w:rsid w:val="00841CDC"/>
    <w:rsid w:val="009022DE"/>
    <w:rsid w:val="009D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9B7A-D1AF-4446-8799-953EC849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5</cp:revision>
  <dcterms:created xsi:type="dcterms:W3CDTF">2018-02-21T18:43:00Z</dcterms:created>
  <dcterms:modified xsi:type="dcterms:W3CDTF">2018-03-09T17:30:00Z</dcterms:modified>
</cp:coreProperties>
</file>